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right="-284" w:hanging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Aproveitamento de atividades acadêmicas para efeito de integralização curricular.</w:t>
      </w:r>
    </w:p>
    <w:p>
      <w:pPr>
        <w:pStyle w:val="Normal"/>
        <w:ind w:right="-284" w:hanging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RESOLUÇÃO 01/2015</w:t>
      </w:r>
    </w:p>
    <w:p>
      <w:pPr>
        <w:pStyle w:val="Normal"/>
        <w:ind w:right="-284" w:hanging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tbl>
      <w:tblPr>
        <w:tblW w:w="9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5265"/>
      </w:tblGrid>
      <w:tr>
        <w:trPr>
          <w:trHeight w:val="137" w:hRule="atLeast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84" w:hanging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Nº MATRÍCULA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284" w:hanging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84" w:hanging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NOME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284" w:hanging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84" w:hanging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E-MAIL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284" w:hanging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84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DESCRIÇÃO DA ATIVIDADE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284" w:hanging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284" w:hanging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84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DATA 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DE INÍCIO E FIM </w:t>
            </w:r>
            <w:r>
              <w:rPr>
                <w:rFonts w:cs="Calibri" w:ascii="Calibri" w:hAnsi="Calibri"/>
                <w:sz w:val="24"/>
                <w:szCs w:val="24"/>
              </w:rPr>
              <w:t>DA ATIVIDADE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284" w:hanging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right="-284" w:hanging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Marque com (x) </w:t>
      </w:r>
      <w:r>
        <w:rPr>
          <w:rFonts w:cs="Calibri" w:ascii="Calibri" w:hAnsi="Calibri"/>
          <w:sz w:val="24"/>
          <w:szCs w:val="24"/>
        </w:rPr>
        <w:t>o tipo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z w:val="24"/>
          <w:szCs w:val="24"/>
        </w:rPr>
        <w:t xml:space="preserve"> atividade </w:t>
      </w:r>
      <w:r>
        <w:rPr>
          <w:rFonts w:cs="Calibri" w:ascii="Calibri" w:hAnsi="Calibri"/>
          <w:sz w:val="24"/>
          <w:szCs w:val="24"/>
        </w:rPr>
        <w:t>para a qual</w:t>
      </w:r>
      <w:r>
        <w:rPr>
          <w:rFonts w:cs="Calibri" w:ascii="Calibri" w:hAnsi="Calibri"/>
          <w:sz w:val="24"/>
          <w:szCs w:val="24"/>
        </w:rPr>
        <w:t xml:space="preserve"> requer aproveitamento.</w:t>
      </w:r>
    </w:p>
    <w:p>
      <w:pPr>
        <w:pStyle w:val="Normal"/>
        <w:ind w:right="-284" w:hanging="0"/>
        <w:jc w:val="both"/>
        <w:rPr/>
      </w:pPr>
      <w:r>
        <w:rPr>
          <w:rFonts w:cs="Calibri" w:ascii="Calibri" w:hAnsi="Calibri"/>
          <w:sz w:val="24"/>
          <w:szCs w:val="24"/>
        </w:rPr>
        <w:t>Em descrição da atividade (acima) especifique: nome do projeto, do artigo, do congresso, da empresa de estágio, etc.</w:t>
      </w:r>
    </w:p>
    <w:p>
      <w:pPr>
        <w:pStyle w:val="Normal"/>
        <w:ind w:right="-284" w:hanging="0"/>
        <w:jc w:val="both"/>
        <w:rPr/>
      </w:pPr>
      <w:r>
        <w:rPr>
          <w:rFonts w:cs="Calibri" w:ascii="Calibri" w:hAnsi="Calibri"/>
          <w:sz w:val="24"/>
          <w:szCs w:val="24"/>
        </w:rPr>
        <w:t>O</w:t>
      </w:r>
      <w:r>
        <w:rPr>
          <w:rFonts w:cs="Calibri" w:ascii="Calibri" w:hAnsi="Calibri"/>
          <w:sz w:val="24"/>
          <w:szCs w:val="24"/>
        </w:rPr>
        <w:t>brigatório anexar a documentação que comprove sua participação conforme orientação descrita na resolução 01/2015.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Iniciação científica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QUATRO vezes para integralização.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SOA095: 2 créditos (seis meses)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SOA057: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Participação em atividades do Programa de Bolsas Acadêmicas da PROGRAD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QUATRO vezes para integralização.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SOA083: 2 créditos (seis meses)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SOA189: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Iniciação à docência na educação básica (PIBID ou equivalentes)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QUATRO vezes para integralização.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SOA096: 2 créditos (seis meses)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SOA190: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Iniciação à docência no ensino superior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QUATRO vezes para integralização.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SOA097: 2 créditos (seis meses)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SOA084: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Iniciação à extensão em Ciências Sociais ou área afim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QUATRO vezes para integralização.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SOA098: 2 créditos (seis meses) </w:t>
      </w:r>
    </w:p>
    <w:p>
      <w:pPr>
        <w:pStyle w:val="Normal"/>
        <w:ind w:left="1764" w:right="-284" w:hanging="684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SOA085: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Vivência profissional complementar ou estágio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QUATRO vezes para integralização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SOA099: 2 créditos (seis meses)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SOA067: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Trabalho publicado em periódico científico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SEM LIMITES para integralização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SOA065: </w:t>
      </w:r>
      <w:r>
        <w:rPr>
          <w:rFonts w:cs="Calibri" w:ascii="Calibri" w:hAnsi="Calibri"/>
          <w:sz w:val="24"/>
          <w:szCs w:val="24"/>
          <w:highlight w:val="yellow"/>
        </w:rPr>
        <w:t>02 créditos</w:t>
      </w: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Trabalho apresentado em evento científico de ciências sociais ou áreas afins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QUATRO vezes para integralização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SOA182: 02 créditos 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Participação em congressos, encontros e eventos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integralizar </w:t>
      </w:r>
      <w:r>
        <w:rPr>
          <w:rFonts w:cs="Calibri" w:ascii="Calibri" w:hAnsi="Calibri"/>
          <w:sz w:val="24"/>
          <w:szCs w:val="24"/>
          <w:highlight w:val="yellow"/>
        </w:rPr>
        <w:t>até TRÊS CRÉDITOS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SOA060: 1 crédito = 1 encontro de abrangência nacional ou internacional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SOA060: 1 crédito = 3 encontros de abrangência local integralizam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Organização de congressos, encontros e eventos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</w:t>
      </w:r>
      <w:r>
        <w:rPr>
          <w:rFonts w:cs="Calibri" w:ascii="Calibri" w:hAnsi="Calibri"/>
          <w:sz w:val="24"/>
          <w:szCs w:val="24"/>
          <w:highlight w:val="yellow"/>
        </w:rPr>
        <w:t>DUAS</w:t>
      </w:r>
      <w:r>
        <w:rPr>
          <w:rFonts w:cs="Calibri" w:ascii="Calibri" w:hAnsi="Calibri"/>
          <w:sz w:val="24"/>
          <w:szCs w:val="24"/>
        </w:rPr>
        <w:t xml:space="preserve"> vezes para integralização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SOA0183: 1 crédito 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Participação em corpo editorial de revista científica com ISSN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DUAS vezes para integralização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SOA184: 2 créditos 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Disciplina na pós-graduação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APENAS UMA vez para integralização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SOA075: 1 créditos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SOA076: 2 créditos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SOA077: 3 créditos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SOA078: 4 créditos </w:t>
      </w:r>
    </w:p>
    <w:p>
      <w:pPr>
        <w:pStyle w:val="Normal"/>
        <w:ind w:left="36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Grupo de Estudos e/ou Grupo de Pesquisa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integralizar até DOIS CRÉDITOS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SOA068: 1 crédito </w:t>
      </w:r>
      <w:r>
        <w:rPr>
          <w:rFonts w:cs="Calibri" w:ascii="Calibri" w:hAnsi="Calibri"/>
          <w:sz w:val="24"/>
          <w:szCs w:val="24"/>
          <w:highlight w:val="yellow"/>
        </w:rPr>
        <w:t>(30 horas)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SOA185: 2 créditos </w:t>
      </w:r>
      <w:r>
        <w:rPr>
          <w:rFonts w:cs="Calibri" w:ascii="Calibri" w:hAnsi="Calibri"/>
          <w:sz w:val="24"/>
          <w:szCs w:val="24"/>
          <w:highlight w:val="yellow"/>
        </w:rPr>
        <w:t>(60 horas)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Empresa Junior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DUAS vezes para integralização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SOA186: 2 créditos (seis meses) 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SOA082: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Participação em órgãos colegiados e de representação estudantil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APENAS UMA vez para integralização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SOA187: 2 créditos 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360" w:right="-284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Protagonismo Social Eventos </w:t>
      </w:r>
      <w:r>
        <w:rPr>
          <w:rFonts w:eastAsia="Wingdings" w:cs="Wingdings" w:ascii="Wingdings" w:hAnsi="Wingdings"/>
          <w:sz w:val="24"/>
          <w:szCs w:val="24"/>
        </w:rPr>
        <w:sym w:font="Wingdings" w:char="f0e0"/>
      </w:r>
      <w:r>
        <w:rPr>
          <w:rFonts w:cs="Calibri" w:ascii="Calibri" w:hAnsi="Calibri"/>
          <w:sz w:val="24"/>
          <w:szCs w:val="24"/>
        </w:rPr>
        <w:t xml:space="preserve"> pode ser usada até DUAS vezes para integralização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(   ) SOA188: 2 créditos (seis meses) </w:t>
      </w:r>
    </w:p>
    <w:p>
      <w:pPr>
        <w:pStyle w:val="Normal"/>
        <w:ind w:left="1080"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   ) SOA086: 4 créditos (um ano letivo)</w:t>
      </w:r>
    </w:p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88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rPr>
          <w:trHeight w:val="1233" w:hRule="atLeast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4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PARECER COLEGIADO:</w:t>
            </w:r>
          </w:p>
        </w:tc>
      </w:tr>
    </w:tbl>
    <w:p>
      <w:pPr>
        <w:pStyle w:val="Normal"/>
        <w:ind w:right="-284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Calibri Light">
    <w:charset w:val="00"/>
    <w:family w:val="swiss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1625" w:type="dxa"/>
      <w:jc w:val="left"/>
      <w:tblInd w:w="-1452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61"/>
      <w:gridCol w:w="5332"/>
      <w:gridCol w:w="3032"/>
    </w:tblGrid>
    <w:tr>
      <w:trPr>
        <w:trHeight w:val="693" w:hRule="atLeast"/>
      </w:trPr>
      <w:tc>
        <w:tcPr>
          <w:tcW w:w="3261" w:type="dxa"/>
          <w:tcBorders/>
        </w:tcPr>
        <w:p>
          <w:pPr>
            <w:pStyle w:val="Cabealho"/>
            <w:tabs>
              <w:tab w:val="clear" w:pos="4419"/>
              <w:tab w:val="clear" w:pos="8838"/>
              <w:tab w:val="left" w:pos="2025" w:leader="none"/>
            </w:tabs>
            <w:jc w:val="center"/>
            <w:rPr/>
          </w:pPr>
          <w:r>
            <w:rPr/>
            <w:drawing>
              <wp:inline distT="0" distB="0" distL="0" distR="0">
                <wp:extent cx="1294765" cy="389255"/>
                <wp:effectExtent l="0" t="0" r="0" b="0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" t="-69" r="-21" b="-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38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2" w:type="dxa"/>
          <w:tcBorders/>
        </w:tcPr>
        <w:p>
          <w:pPr>
            <w:pStyle w:val="Cabealho"/>
            <w:tabs>
              <w:tab w:val="clear" w:pos="4419"/>
              <w:tab w:val="clear" w:pos="8838"/>
              <w:tab w:val="left" w:pos="2025" w:leader="none"/>
            </w:tabs>
            <w:jc w:val="center"/>
            <w:rPr>
              <w:rFonts w:ascii="Calibri Light" w:hAnsi="Calibri Light" w:cs="Calibri Light"/>
            </w:rPr>
          </w:pPr>
          <w:r>
            <w:rPr>
              <w:rFonts w:cs="Calibri Light" w:ascii="Calibri Light" w:hAnsi="Calibri Light"/>
            </w:rPr>
            <w:t>UNIVERSIDADE FEDERAL DE MINAS GERAIS</w:t>
          </w:r>
        </w:p>
        <w:p>
          <w:pPr>
            <w:pStyle w:val="Cabealho"/>
            <w:tabs>
              <w:tab w:val="clear" w:pos="4419"/>
              <w:tab w:val="clear" w:pos="8838"/>
              <w:tab w:val="left" w:pos="2025" w:leader="none"/>
            </w:tabs>
            <w:jc w:val="center"/>
            <w:rPr>
              <w:rFonts w:ascii="Verdana" w:hAnsi="Verdana" w:cs="Verdana"/>
              <w:smallCaps/>
            </w:rPr>
          </w:pPr>
          <w:r>
            <w:rPr>
              <w:rFonts w:cs="Calibri" w:ascii="Calibri" w:hAnsi="Calibri"/>
            </w:rPr>
            <w:t>Colegiado de Graduação em Ciências Sociais</w:t>
          </w:r>
        </w:p>
      </w:tc>
      <w:tc>
        <w:tcPr>
          <w:tcW w:w="3032" w:type="dxa"/>
          <w:tcBorders/>
        </w:tcPr>
        <w:p>
          <w:pPr>
            <w:pStyle w:val="Cabealho"/>
            <w:tabs>
              <w:tab w:val="clear" w:pos="4419"/>
              <w:tab w:val="clear" w:pos="8838"/>
              <w:tab w:val="left" w:pos="2025" w:leader="none"/>
            </w:tabs>
            <w:snapToGrid w:val="false"/>
            <w:rPr>
              <w:rFonts w:ascii="Verdana" w:hAnsi="Verdana" w:cs="Verdana"/>
              <w:smallCaps/>
              <w:sz w:val="24"/>
              <w:szCs w:val="24"/>
            </w:rPr>
          </w:pPr>
          <w:r>
            <w:rPr>
              <w:rFonts w:cs="Verdana" w:ascii="Verdana" w:hAnsi="Verdana"/>
              <w:smallCaps/>
              <w:sz w:val="24"/>
              <w:szCs w:val="24"/>
            </w:rPr>
            <w:drawing>
              <wp:anchor behindDoc="0" distT="0" distB="101600" distL="0" distR="0" simplePos="0" locked="0" layoutInCell="1" allowOverlap="1" relativeHeight="5">
                <wp:simplePos x="0" y="0"/>
                <wp:positionH relativeFrom="column">
                  <wp:posOffset>191770</wp:posOffset>
                </wp:positionH>
                <wp:positionV relativeFrom="paragraph">
                  <wp:posOffset>1270</wp:posOffset>
                </wp:positionV>
                <wp:extent cx="1391285" cy="26035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6668" t="36128" r="3405" b="35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0"/>
      <w:szCs w:val="20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TextodebaloChar">
    <w:name w:val="Texto de balão Char"/>
    <w:qFormat/>
    <w:rPr>
      <w:rFonts w:ascii="Segoe UI" w:hAnsi="Segoe UI" w:eastAsia="Times New Roman" w:cs="Segoe UI"/>
      <w:sz w:val="18"/>
      <w:szCs w:val="18"/>
    </w:rPr>
  </w:style>
  <w:style w:type="character" w:styleId="LinkdaInternet">
    <w:name w:val="Hyperlink"/>
    <w:rPr>
      <w:color w:val="0000FF"/>
      <w:u w:val="single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sz w:val="24"/>
    </w:rPr>
  </w:style>
  <w:style w:type="character" w:styleId="Ttulo2Char">
    <w:name w:val="Título 2 Char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Nfaseforte">
    <w:name w:val="Strong"/>
    <w:qFormat/>
    <w:rPr>
      <w:b/>
      <w:bCs/>
    </w:rPr>
  </w:style>
  <w:style w:type="character" w:styleId="TtuloChar">
    <w:name w:val="Título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ubttuloChar">
    <w:name w:val="Subtítulo Char"/>
    <w:qFormat/>
    <w:rPr>
      <w:rFonts w:ascii="Calibri Light" w:hAnsi="Calibri Light" w:eastAsia="Times New Roman" w:cs="Times New Roman"/>
      <w:sz w:val="24"/>
      <w:szCs w:val="24"/>
    </w:rPr>
  </w:style>
  <w:style w:type="character" w:styleId="Valor">
    <w:name w:val="valor"/>
    <w:qFormat/>
    <w:rPr/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Times New Roman" w:hAnsi="Times New Roman" w:eastAsia="Times New Roman" w:cs="Times New Roman"/>
    </w:rPr>
  </w:style>
  <w:style w:type="character" w:styleId="AssuntodocomentrioChar">
    <w:name w:val="Assunto do comentário Char"/>
    <w:qFormat/>
    <w:rPr>
      <w:rFonts w:ascii="Times New Roman" w:hAnsi="Times New Roman" w:eastAsia="Times New Roman" w:cs="Times New Roman"/>
      <w:b/>
      <w:bCs/>
    </w:rPr>
  </w:style>
  <w:style w:type="paragraph" w:styleId="Ttulo">
    <w:name w:val="Título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Corpodo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Normal"/>
    <w:pPr>
      <w:spacing w:before="0" w:after="0"/>
      <w:ind w:left="283" w:hanging="283"/>
      <w:contextualSpacing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libri Light" w:hAnsi="Calibri Light" w:eastAsia="Times New Roman" w:cs="Times New Roman"/>
      <w:sz w:val="24"/>
      <w:szCs w:val="24"/>
    </w:rPr>
  </w:style>
  <w:style w:type="paragraph" w:styleId="Commarcadores">
    <w:name w:val="Com marcadores"/>
    <w:basedOn w:val="Normal"/>
    <w:qFormat/>
    <w:pPr>
      <w:numPr>
        <w:ilvl w:val="0"/>
        <w:numId w:val="2"/>
      </w:numPr>
      <w:spacing w:before="0" w:after="0"/>
      <w:contextualSpacing/>
    </w:pPr>
    <w:rPr/>
  </w:style>
  <w:style w:type="paragraph" w:styleId="SemEspaamento">
    <w:name w:val="Sem Espaçamento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extopadro">
    <w:name w:val="Texto padrão"/>
    <w:basedOn w:val="Normal"/>
    <w:qFormat/>
    <w:pPr>
      <w:suppressAutoHyphens w:val="true"/>
      <w:overflowPunct w:val="false"/>
      <w:autoSpaceDE w:val="false"/>
    </w:pPr>
    <w:rPr>
      <w:color w:val="000000"/>
      <w:sz w:val="24"/>
      <w:lang w:eastAsia="zh-CN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Textodecomentrio">
    <w:name w:val="Texto de comentário"/>
    <w:basedOn w:val="Normal"/>
    <w:qFormat/>
    <w:pPr/>
    <w:rPr/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32</TotalTime>
  <Application>LibreOffice/7.5.3.2$Windows_X86_64 LibreOffice_project/9f56dff12ba03b9acd7730a5a481eea045e468f3</Application>
  <AppVersion>15.0000</AppVersion>
  <Pages>2</Pages>
  <Words>537</Words>
  <Characters>2677</Characters>
  <CharactersWithSpaces>3218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2024-03-20T15:54:00Z</dcterms:created>
  <dc:creator>Usuario</dc:creator>
  <dc:description/>
  <cp:keywords/>
  <dc:language>pt-BR</dc:language>
  <cp:lastModifiedBy/>
  <cp:lastPrinted>2020-12-31T07:56:00Z</cp:lastPrinted>
  <dcterms:modified xsi:type="dcterms:W3CDTF">2024-04-25T09:56:43Z</dcterms:modified>
  <cp:revision>7</cp:revision>
  <dc:subject/>
  <dc:title/>
</cp:coreProperties>
</file>